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27C3" w14:textId="77777777"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374A0EE5" w:rsidR="002377A2" w:rsidRPr="00AF50B2" w:rsidRDefault="002377A2" w:rsidP="00DB19EB">
      <w:pPr>
        <w:spacing w:after="0" w:line="240" w:lineRule="auto"/>
        <w:ind w:left="5103" w:hanging="141"/>
        <w:rPr>
          <w:rFonts w:ascii="Times New Roman" w:eastAsia="Times New Roman" w:hAnsi="Times New Roman" w:cs="Times New Roman"/>
          <w:color w:val="FF0000"/>
          <w:sz w:val="24"/>
          <w:szCs w:val="24"/>
        </w:rPr>
      </w:pPr>
      <w:r w:rsidRPr="00DB19EB">
        <w:rPr>
          <w:rFonts w:ascii="Times New Roman" w:eastAsia="Times New Roman" w:hAnsi="Times New Roman" w:cs="Times New Roman"/>
          <w:sz w:val="24"/>
          <w:szCs w:val="24"/>
        </w:rPr>
        <w:t>20</w:t>
      </w:r>
      <w:r w:rsidR="00C63334" w:rsidRPr="00DB19EB">
        <w:rPr>
          <w:rFonts w:ascii="Times New Roman" w:eastAsia="Times New Roman" w:hAnsi="Times New Roman" w:cs="Times New Roman"/>
          <w:sz w:val="24"/>
          <w:szCs w:val="24"/>
        </w:rPr>
        <w:t xml:space="preserve">23 </w:t>
      </w:r>
      <w:r w:rsidRPr="00DB19EB">
        <w:rPr>
          <w:rFonts w:ascii="Times New Roman" w:eastAsia="Times New Roman" w:hAnsi="Times New Roman" w:cs="Times New Roman"/>
          <w:sz w:val="24"/>
          <w:szCs w:val="24"/>
        </w:rPr>
        <w:t xml:space="preserve">m. </w:t>
      </w:r>
      <w:r w:rsidR="00C63334" w:rsidRPr="00DB19EB">
        <w:rPr>
          <w:rFonts w:ascii="Times New Roman" w:eastAsia="Times New Roman" w:hAnsi="Times New Roman" w:cs="Times New Roman"/>
          <w:sz w:val="24"/>
          <w:szCs w:val="24"/>
        </w:rPr>
        <w:t xml:space="preserve">gruodžio </w:t>
      </w:r>
      <w:r w:rsidR="00DB19EB" w:rsidRPr="00DB19EB">
        <w:rPr>
          <w:rFonts w:ascii="Times New Roman" w:eastAsia="Times New Roman" w:hAnsi="Times New Roman" w:cs="Times New Roman"/>
          <w:sz w:val="24"/>
          <w:szCs w:val="24"/>
        </w:rPr>
        <w:t>13</w:t>
      </w:r>
      <w:r w:rsidR="00C63334" w:rsidRPr="00DB19EB">
        <w:rPr>
          <w:rFonts w:ascii="Times New Roman" w:eastAsia="Times New Roman" w:hAnsi="Times New Roman" w:cs="Times New Roman"/>
          <w:sz w:val="24"/>
          <w:szCs w:val="24"/>
        </w:rPr>
        <w:t xml:space="preserve"> </w:t>
      </w:r>
      <w:r w:rsidRPr="00DB19EB">
        <w:rPr>
          <w:rFonts w:ascii="Times New Roman" w:eastAsia="Times New Roman" w:hAnsi="Times New Roman" w:cs="Times New Roman"/>
          <w:sz w:val="24"/>
          <w:szCs w:val="24"/>
        </w:rPr>
        <w:t xml:space="preserve">d. sprendimu Nr. </w:t>
      </w:r>
      <w:r w:rsidR="00C63334" w:rsidRPr="00DB19EB">
        <w:rPr>
          <w:rFonts w:ascii="Times New Roman" w:eastAsia="Times New Roman" w:hAnsi="Times New Roman" w:cs="Times New Roman"/>
          <w:sz w:val="24"/>
          <w:szCs w:val="24"/>
        </w:rPr>
        <w:t>T</w:t>
      </w:r>
      <w:r w:rsidR="00DB19EB" w:rsidRPr="00DB19EB">
        <w:rPr>
          <w:rFonts w:ascii="Times New Roman" w:eastAsia="Times New Roman" w:hAnsi="Times New Roman" w:cs="Times New Roman"/>
          <w:sz w:val="24"/>
          <w:szCs w:val="24"/>
        </w:rPr>
        <w:t>10</w:t>
      </w:r>
      <w:r w:rsidR="00C63334" w:rsidRPr="00DB19EB">
        <w:rPr>
          <w:rFonts w:ascii="Times New Roman" w:eastAsia="Times New Roman" w:hAnsi="Times New Roman" w:cs="Times New Roman"/>
          <w:sz w:val="24"/>
          <w:szCs w:val="24"/>
        </w:rPr>
        <w:t>-</w:t>
      </w:r>
      <w:r w:rsidR="00DB19EB" w:rsidRPr="00DB19EB">
        <w:rPr>
          <w:rFonts w:ascii="Times New Roman" w:eastAsia="Times New Roman" w:hAnsi="Times New Roman" w:cs="Times New Roman"/>
          <w:sz w:val="24"/>
          <w:szCs w:val="24"/>
        </w:rPr>
        <w:t>254</w:t>
      </w:r>
    </w:p>
    <w:p w14:paraId="64C5AAD1"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5D7ED706"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 xml:space="preserve"> 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vykdančių </w:t>
            </w:r>
            <w:r w:rsidRPr="00D97205">
              <w:rPr>
                <w:rFonts w:ascii="Times New Roman" w:eastAsia="Batang" w:hAnsi="Times New Roman" w:cs="Times New Roman"/>
                <w:sz w:val="20"/>
                <w:szCs w:val="20"/>
              </w:rPr>
              <w:lastRenderedPageBreak/>
              <w:t xml:space="preserve">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reikšmė </w:t>
            </w:r>
            <w:r w:rsidRPr="00D97205">
              <w:rPr>
                <w:rFonts w:ascii="Times New Roman" w:eastAsia="Calibri" w:hAnsi="Times New Roman" w:cs="Times New Roman"/>
                <w:iCs/>
                <w:sz w:val="20"/>
                <w:szCs w:val="20"/>
              </w:rPr>
              <w:lastRenderedPageBreak/>
              <w:t xml:space="preserve">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lastRenderedPageBreak/>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lastRenderedPageBreak/>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2377A2"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2377A2"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2377A2"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764589D" w14:textId="4713DF1E"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11</w:t>
            </w:r>
            <w:r w:rsidR="00F51506" w:rsidRPr="001649DF">
              <w:rPr>
                <w:rFonts w:ascii="Times New Roman" w:eastAsia="Times New Roman" w:hAnsi="Times New Roman" w:cs="Times New Roman"/>
                <w:color w:val="000000"/>
                <w:sz w:val="24"/>
                <w:szCs w:val="24"/>
              </w:rPr>
              <w:t> 727,</w:t>
            </w:r>
            <w:r w:rsidR="00471869">
              <w:rPr>
                <w:rFonts w:ascii="Times New Roman" w:eastAsia="Times New Roman" w:hAnsi="Times New Roman" w:cs="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55269B5B"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13</w:t>
            </w:r>
            <w:r w:rsidR="00F51506" w:rsidRPr="001649DF">
              <w:rPr>
                <w:rFonts w:ascii="Times New Roman" w:eastAsia="Times New Roman" w:hAnsi="Times New Roman" w:cs="Times New Roman"/>
                <w:color w:val="000000"/>
                <w:sz w:val="24"/>
                <w:szCs w:val="24"/>
              </w:rPr>
              <w:t> 203,6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390D2F67"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13</w:t>
            </w:r>
            <w:r w:rsidR="000C57E5" w:rsidRPr="001649DF">
              <w:rPr>
                <w:rFonts w:ascii="Times New Roman" w:eastAsia="Times New Roman" w:hAnsi="Times New Roman" w:cs="Times New Roman"/>
                <w:color w:val="000000"/>
                <w:sz w:val="24"/>
                <w:szCs w:val="24"/>
              </w:rPr>
              <w:t> 113,5</w:t>
            </w:r>
          </w:p>
        </w:tc>
      </w:tr>
      <w:tr w:rsidR="002377A2"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725D42DD"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w:t>
            </w:r>
            <w:r w:rsidR="00F51506" w:rsidRPr="001649DF">
              <w:rPr>
                <w:rFonts w:ascii="Times New Roman" w:eastAsia="Times New Roman" w:hAnsi="Times New Roman" w:cs="Times New Roman"/>
                <w:color w:val="000000"/>
                <w:sz w:val="24"/>
                <w:szCs w:val="24"/>
              </w:rPr>
              <w:t> </w:t>
            </w:r>
            <w:r w:rsidR="00093A30">
              <w:rPr>
                <w:rFonts w:ascii="Times New Roman" w:eastAsia="Times New Roman" w:hAnsi="Times New Roman" w:cs="Times New Roman"/>
                <w:color w:val="000000"/>
                <w:sz w:val="24"/>
                <w:szCs w:val="24"/>
              </w:rPr>
              <w:t>8</w:t>
            </w:r>
            <w:r w:rsidR="00F51506" w:rsidRPr="001649DF">
              <w:rPr>
                <w:rFonts w:ascii="Times New Roman" w:eastAsia="Times New Roman" w:hAnsi="Times New Roman" w:cs="Times New Roman"/>
                <w:color w:val="000000"/>
                <w:sz w:val="24"/>
                <w:szCs w:val="24"/>
              </w:rPr>
              <w:t>51,3</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3B9F8638" w:rsidR="002377A2" w:rsidRPr="001649DF" w:rsidRDefault="00F51506"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w:t>
            </w:r>
            <w:r w:rsidR="00672C3A">
              <w:rPr>
                <w:rFonts w:ascii="Times New Roman" w:eastAsia="Times New Roman" w:hAnsi="Times New Roman" w:cs="Times New Roman"/>
                <w:color w:val="000000"/>
                <w:sz w:val="24"/>
                <w:szCs w:val="24"/>
              </w:rPr>
              <w:t> 669,2</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35FA958B" w:rsidR="002377A2" w:rsidRPr="001649DF" w:rsidRDefault="000C57E5"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12 193,5</w:t>
            </w:r>
          </w:p>
        </w:tc>
      </w:tr>
      <w:tr w:rsidR="002377A2"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443BE6E8" w14:textId="1E114B62"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F51506"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0</w:t>
            </w:r>
            <w:r w:rsidR="00093A30">
              <w:rPr>
                <w:rFonts w:ascii="Times New Roman" w:eastAsia="Times New Roman" w:hAnsi="Times New Roman" w:cs="Times New Roman"/>
                <w:color w:val="000000"/>
                <w:sz w:val="24"/>
                <w:szCs w:val="24"/>
              </w:rPr>
              <w:t>52</w:t>
            </w:r>
            <w:r w:rsidR="00F51506" w:rsidRPr="001649DF">
              <w:rPr>
                <w:rFonts w:ascii="Times New Roman" w:eastAsia="Times New Roman" w:hAnsi="Times New Roman" w:cs="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672C3A">
              <w:rPr>
                <w:rFonts w:ascii="Times New Roman" w:eastAsia="Times New Roman" w:hAnsi="Times New Roman" w:cs="Times New Roman"/>
                <w:color w:val="000000"/>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465726">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19</w:t>
            </w:r>
            <w:r w:rsidR="00465726">
              <w:rPr>
                <w:rFonts w:ascii="Times New Roman" w:eastAsia="Times New Roman" w:hAnsi="Times New Roman" w:cs="Times New Roman"/>
                <w:color w:val="000000"/>
                <w:sz w:val="24"/>
                <w:szCs w:val="24"/>
              </w:rPr>
              <w:t>7,8</w:t>
            </w:r>
          </w:p>
        </w:tc>
      </w:tr>
      <w:tr w:rsidR="00AF7750"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58D2C9E9" w14:textId="712AEB1B"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F51506" w:rsidRPr="001649DF">
              <w:rPr>
                <w:rFonts w:ascii="Times New Roman" w:eastAsia="Times New Roman" w:hAnsi="Times New Roman" w:cs="Times New Roman"/>
                <w:color w:val="000000"/>
                <w:sz w:val="24"/>
                <w:szCs w:val="24"/>
              </w:rPr>
              <w:t> 220,7</w:t>
            </w: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F51506" w:rsidRPr="001649DF">
              <w:rPr>
                <w:rFonts w:ascii="Times New Roman" w:eastAsia="Times New Roman" w:hAnsi="Times New Roman" w:cs="Times New Roman"/>
                <w:color w:val="000000"/>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0C57E5" w:rsidRPr="001649DF">
              <w:rPr>
                <w:rFonts w:ascii="Times New Roman" w:eastAsia="Times New Roman" w:hAnsi="Times New Roman" w:cs="Times New Roman"/>
                <w:color w:val="000000"/>
                <w:sz w:val="24"/>
                <w:szCs w:val="24"/>
              </w:rPr>
              <w:t> 228,9</w:t>
            </w:r>
          </w:p>
        </w:tc>
      </w:tr>
      <w:tr w:rsidR="00AF7750"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0611B59D" w14:textId="68BE659B"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2 286,8</w:t>
            </w: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F51506"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8</w:t>
            </w:r>
            <w:r w:rsidR="00F51506" w:rsidRPr="001649DF">
              <w:rPr>
                <w:rFonts w:ascii="Times New Roman" w:eastAsia="Times New Roman" w:hAnsi="Times New Roman" w:cs="Times New Roman"/>
                <w:color w:val="000000"/>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0C57E5"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9</w:t>
            </w:r>
            <w:r w:rsidR="000C57E5" w:rsidRPr="001649DF">
              <w:rPr>
                <w:rFonts w:ascii="Times New Roman" w:eastAsia="Times New Roman" w:hAnsi="Times New Roman" w:cs="Times New Roman"/>
                <w:color w:val="000000"/>
                <w:sz w:val="24"/>
                <w:szCs w:val="24"/>
              </w:rPr>
              <w:t>89,7</w:t>
            </w:r>
          </w:p>
        </w:tc>
      </w:tr>
      <w:tr w:rsidR="00AF7750"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2E980DD7" w14:textId="05337AA4" w:rsidR="00AF7750" w:rsidRPr="001649DF" w:rsidRDefault="00F51506"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5 3</w:t>
            </w:r>
            <w:r w:rsidR="00093A30">
              <w:rPr>
                <w:rFonts w:ascii="Times New Roman" w:eastAsia="Times New Roman" w:hAnsi="Times New Roman" w:cs="Times New Roman"/>
                <w:color w:val="000000"/>
                <w:sz w:val="24"/>
                <w:szCs w:val="24"/>
              </w:rPr>
              <w:t>86</w:t>
            </w:r>
            <w:r w:rsidRPr="001649DF">
              <w:rPr>
                <w:rFonts w:ascii="Times New Roman" w:eastAsia="Times New Roman" w:hAnsi="Times New Roman" w:cs="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14:paraId="1A57B6A4" w14:textId="39A63887" w:rsidR="00AF7750" w:rsidRPr="001649DF" w:rsidRDefault="00F51506"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6</w:t>
            </w:r>
            <w:r w:rsidR="00317C06">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1</w:t>
            </w:r>
            <w:r w:rsidR="006F4A18">
              <w:rPr>
                <w:rFonts w:ascii="Times New Roman" w:eastAsia="Times New Roman" w:hAnsi="Times New Roman" w:cs="Times New Roman"/>
                <w:color w:val="000000"/>
                <w:sz w:val="24"/>
                <w:szCs w:val="24"/>
              </w:rPr>
              <w:t>3</w:t>
            </w:r>
            <w:r w:rsidR="00317C06">
              <w:rPr>
                <w:rFonts w:ascii="Times New Roman" w:eastAsia="Times New Roman" w:hAnsi="Times New Roman" w:cs="Times New Roman"/>
                <w:color w:val="000000"/>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32067AA2" w14:textId="1E92737B" w:rsidR="00AF7750" w:rsidRPr="001649DF" w:rsidRDefault="000C57E5"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7 802,</w:t>
            </w:r>
            <w:r w:rsidR="00317C06">
              <w:rPr>
                <w:rFonts w:ascii="Times New Roman" w:eastAsia="Times New Roman" w:hAnsi="Times New Roman" w:cs="Times New Roman"/>
                <w:color w:val="000000"/>
                <w:sz w:val="24"/>
                <w:szCs w:val="24"/>
              </w:rPr>
              <w:t>4</w:t>
            </w:r>
          </w:p>
        </w:tc>
      </w:tr>
      <w:tr w:rsidR="00AF7750"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2378554C" w:rsidR="00AF7750" w:rsidRPr="001649DF" w:rsidRDefault="006C1319"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3</w:t>
            </w:r>
            <w:r w:rsidR="00672C3A">
              <w:rPr>
                <w:rFonts w:ascii="Times New Roman" w:eastAsia="Times New Roman" w:hAnsi="Times New Roman" w:cs="Times New Roman"/>
                <w:b/>
                <w:bCs/>
                <w:color w:val="000000"/>
                <w:sz w:val="24"/>
                <w:szCs w:val="24"/>
              </w:rPr>
              <w:t>8 006,5</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56437538" w:rsidR="00AF7750" w:rsidRPr="001649DF" w:rsidRDefault="00B80A1A" w:rsidP="00AF7750">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41</w:t>
            </w:r>
            <w:r w:rsidR="00016209">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rPr>
              <w:t>3</w:t>
            </w:r>
            <w:r w:rsidR="00016209">
              <w:rPr>
                <w:rFonts w:ascii="Times New Roman" w:eastAsia="Times New Roman" w:hAnsi="Times New Roman" w:cs="Times New Roman"/>
                <w:b/>
                <w:bCs/>
                <w:color w:val="000000"/>
                <w:sz w:val="24"/>
                <w:szCs w:val="24"/>
              </w:rPr>
              <w:t>47,1</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3F62C50B"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42 846,2</w:t>
            </w:r>
          </w:p>
        </w:tc>
      </w:tr>
      <w:tr w:rsidR="00AF7750"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17 </w:t>
            </w:r>
            <w:r w:rsidR="00720F87" w:rsidRPr="001649DF">
              <w:rPr>
                <w:rFonts w:ascii="Times New Roman" w:eastAsia="Times New Roman" w:hAnsi="Times New Roman" w:cs="Times New Roman"/>
                <w:color w:val="000000"/>
                <w:sz w:val="24"/>
                <w:szCs w:val="24"/>
              </w:rPr>
              <w:t>69</w:t>
            </w:r>
            <w:r w:rsidRPr="001649DF">
              <w:rPr>
                <w:rFonts w:ascii="Times New Roman" w:eastAsia="Times New Roman" w:hAnsi="Times New Roman" w:cs="Times New Roman"/>
                <w:color w:val="000000"/>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AF7750"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AF7750"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AF7750"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7CB6D427" w:rsidR="00AF7750" w:rsidRPr="001649DF"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 xml:space="preserve">1 </w:t>
            </w:r>
            <w:r w:rsidR="00093A30">
              <w:rPr>
                <w:rFonts w:ascii="Times New Roman" w:eastAsia="Times New Roman" w:hAnsi="Times New Roman" w:cs="Times New Roman"/>
                <w:color w:val="000000"/>
                <w:sz w:val="24"/>
                <w:szCs w:val="24"/>
              </w:rPr>
              <w:t>6</w:t>
            </w:r>
            <w:r w:rsidRPr="001649DF">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37840C0" w14:textId="72612BBD" w:rsidR="00AF7750" w:rsidRPr="001649DF"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F64BE0">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B3DE01" w:rsidR="00AF7750" w:rsidRPr="001649DF"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2 700,0</w:t>
            </w:r>
          </w:p>
        </w:tc>
      </w:tr>
      <w:tr w:rsidR="00AF7750"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AF7750"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AF7750"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4356BBBF" w:rsidR="00AF7750" w:rsidRPr="001649DF" w:rsidRDefault="006C1319"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2 519,</w:t>
            </w:r>
            <w:r w:rsidR="001649DF" w:rsidRPr="001649DF">
              <w:rPr>
                <w:rFonts w:ascii="Times New Roman" w:eastAsia="Times New Roman" w:hAnsi="Times New Roman" w:cs="Times New Roman"/>
                <w:b/>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665CB4E3"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1 824,6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54A93A3B"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1 679,6</w:t>
            </w:r>
          </w:p>
        </w:tc>
      </w:tr>
      <w:tr w:rsidR="00720F87"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r>
      <w:tr w:rsidR="006C1319"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7408353D"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1 234,9</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395,5</w:t>
            </w:r>
          </w:p>
        </w:tc>
      </w:tr>
      <w:tr w:rsidR="00AF7750" w:rsidRPr="002377A2" w14:paraId="7E32F92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4288C32E" w14:textId="5605FA5A"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40</w:t>
            </w:r>
            <w:r w:rsidR="00672C3A">
              <w:rPr>
                <w:rFonts w:ascii="Times New Roman" w:eastAsia="Times New Roman" w:hAnsi="Times New Roman" w:cs="Times New Roman"/>
                <w:b/>
                <w:bCs/>
                <w:color w:val="000000"/>
                <w:sz w:val="24"/>
                <w:szCs w:val="24"/>
              </w:rPr>
              <w:t> 525,5</w:t>
            </w:r>
          </w:p>
        </w:tc>
        <w:tc>
          <w:tcPr>
            <w:tcW w:w="1276" w:type="dxa"/>
            <w:tcBorders>
              <w:top w:val="single" w:sz="4" w:space="0" w:color="auto"/>
              <w:left w:val="single" w:sz="4" w:space="0" w:color="auto"/>
              <w:bottom w:val="single" w:sz="4" w:space="0" w:color="auto"/>
              <w:right w:val="single" w:sz="4" w:space="0" w:color="auto"/>
            </w:tcBorders>
            <w:vAlign w:val="center"/>
          </w:tcPr>
          <w:p w14:paraId="13B491BB" w14:textId="39D87DDD"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4</w:t>
            </w:r>
            <w:r w:rsidR="008178EA">
              <w:rPr>
                <w:rFonts w:ascii="Times New Roman" w:eastAsia="Times New Roman" w:hAnsi="Times New Roman" w:cs="Times New Roman"/>
                <w:b/>
                <w:bCs/>
                <w:color w:val="000000"/>
                <w:sz w:val="24"/>
                <w:szCs w:val="24"/>
              </w:rPr>
              <w:t>3</w:t>
            </w:r>
            <w:r w:rsidR="006F4A18">
              <w:rPr>
                <w:rFonts w:ascii="Times New Roman" w:eastAsia="Times New Roman" w:hAnsi="Times New Roman" w:cs="Times New Roman"/>
                <w:b/>
                <w:bCs/>
                <w:color w:val="000000"/>
                <w:sz w:val="24"/>
                <w:szCs w:val="24"/>
              </w:rPr>
              <w:t> 171,7</w:t>
            </w:r>
          </w:p>
        </w:tc>
        <w:tc>
          <w:tcPr>
            <w:tcW w:w="1417" w:type="dxa"/>
            <w:tcBorders>
              <w:top w:val="single" w:sz="4" w:space="0" w:color="auto"/>
              <w:left w:val="single" w:sz="4" w:space="0" w:color="auto"/>
              <w:bottom w:val="single" w:sz="4" w:space="0" w:color="auto"/>
              <w:right w:val="single" w:sz="4" w:space="0" w:color="auto"/>
            </w:tcBorders>
            <w:vAlign w:val="center"/>
          </w:tcPr>
          <w:p w14:paraId="11477A7E" w14:textId="5478E120"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44 525,8</w:t>
            </w:r>
          </w:p>
        </w:tc>
      </w:tr>
      <w:tr w:rsidR="00AF7750"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AF7750"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78205225">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26 proc. Tarp funkcijų vykdymo programų didžiausia lėšų dalis (26 proc.) tenka 1 programai „Ugdymo kokybės ir mokymo aplinkos užtikrinimo programa“ ir 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lastRenderedPageBreak/>
        <w:drawing>
          <wp:inline distT="0" distB="0" distL="0" distR="0" wp14:anchorId="1288B781" wp14:editId="3D4062EE">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506" w:type="dxa"/>
        <w:tblInd w:w="-5" w:type="dxa"/>
        <w:tblLayout w:type="fixed"/>
        <w:tblLook w:val="04A0" w:firstRow="1" w:lastRow="0" w:firstColumn="1" w:lastColumn="0" w:noHBand="0" w:noVBand="1"/>
      </w:tblPr>
      <w:tblGrid>
        <w:gridCol w:w="993"/>
        <w:gridCol w:w="289"/>
        <w:gridCol w:w="431"/>
        <w:gridCol w:w="7785"/>
        <w:gridCol w:w="8"/>
      </w:tblGrid>
      <w:tr w:rsidR="000C3541" w:rsidRPr="00DD78E2" w14:paraId="492E878D" w14:textId="77777777" w:rsidTr="002D1769">
        <w:trPr>
          <w:trHeight w:val="300"/>
        </w:trPr>
        <w:tc>
          <w:tcPr>
            <w:tcW w:w="9506"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2D1769">
        <w:trPr>
          <w:gridAfter w:val="1"/>
          <w:wAfter w:w="8" w:type="dxa"/>
          <w:trHeight w:val="396"/>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2D1769">
        <w:trPr>
          <w:gridAfter w:val="1"/>
          <w:wAfter w:w="8" w:type="dxa"/>
          <w:trHeight w:val="396"/>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2D1769">
        <w:trPr>
          <w:gridAfter w:val="1"/>
          <w:wAfter w:w="8" w:type="dxa"/>
          <w:trHeight w:val="336"/>
        </w:trPr>
        <w:tc>
          <w:tcPr>
            <w:tcW w:w="993"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F0460A">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F0460A">
        <w:trPr>
          <w:gridAfter w:val="1"/>
          <w:wAfter w:w="8" w:type="dxa"/>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0C3541" w:rsidRPr="00DD78E2" w14:paraId="4B62E79C" w14:textId="1B5BB353" w:rsidTr="002D1769">
        <w:trPr>
          <w:gridAfter w:val="1"/>
          <w:wAfter w:w="8" w:type="dxa"/>
          <w:trHeight w:val="36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Didinti paslaugų, teikiamų švietimo įstaigų bendruomenėms, įvairovę, kokybę ir prieinamumą</w:t>
            </w:r>
          </w:p>
        </w:tc>
      </w:tr>
      <w:tr w:rsidR="000C3541" w:rsidRPr="00DD78E2" w14:paraId="58CFBCD0" w14:textId="6BEF5984"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1.2.6.</w:t>
            </w:r>
            <w:r>
              <w:rPr>
                <w:rFonts w:ascii="Times New Roman" w:eastAsia="Times New Roman" w:hAnsi="Times New Roman" w:cs="Times New Roman"/>
                <w:color w:val="000000"/>
                <w:sz w:val="24"/>
                <w:szCs w:val="24"/>
                <w:lang w:eastAsia="lt-LT"/>
              </w:rPr>
              <w:t>6</w:t>
            </w:r>
            <w:r w:rsidRPr="00DD78E2">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8" w:name="_Hlk152187366"/>
            <w:r>
              <w:rPr>
                <w:rFonts w:ascii="Times New Roman" w:eastAsia="Times New Roman" w:hAnsi="Times New Roman" w:cs="Times New Roman"/>
                <w:color w:val="000000"/>
                <w:sz w:val="24"/>
                <w:szCs w:val="24"/>
                <w:lang w:eastAsia="lt-LT"/>
              </w:rPr>
              <w:t xml:space="preserve">Priemonė. </w:t>
            </w:r>
            <w:r w:rsidRPr="00D26B7A">
              <w:rPr>
                <w:rFonts w:ascii="Times New Roman" w:eastAsia="Times New Roman" w:hAnsi="Times New Roman" w:cs="Times New Roman"/>
                <w:color w:val="000000"/>
                <w:sz w:val="24"/>
                <w:szCs w:val="24"/>
                <w:lang w:eastAsia="lt-LT"/>
              </w:rPr>
              <w:t>Klaipėdos regiono plėtros plano projektų švietimo srityje  įgyvendinimas</w:t>
            </w:r>
            <w:bookmarkEnd w:id="8"/>
          </w:p>
        </w:tc>
      </w:tr>
      <w:tr w:rsidR="000C3541" w:rsidRPr="00DD78E2" w14:paraId="1C20512D" w14:textId="2D7E629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0C3541" w:rsidRPr="00DD78E2" w14:paraId="6A6F3FD8" w14:textId="5F2EE8AC"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1ED6F933"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0C3541" w:rsidRPr="00DD78E2" w14:paraId="1A6156A6" w14:textId="2A705925"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48F13169"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0C3541" w:rsidRPr="00DD78E2" w14:paraId="2A835087" w14:textId="51B00761"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0C3541" w:rsidRPr="00DD78E2" w14:paraId="1229AE6D" w14:textId="54E1B4C6"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0AB51035"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0C3541" w:rsidRPr="00DD78E2" w14:paraId="53993781" w14:textId="5F3AFC4B"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0C3541" w:rsidRPr="00DD78E2" w14:paraId="0B2314EA" w14:textId="5E36F666"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7F33DDC"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0BCCF5E0"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Gabių vaikų ir mokinių ugdymas,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lastRenderedPageBreak/>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Pr="0030771A" w:rsidRDefault="000C3541" w:rsidP="0030771A">
      <w:pPr>
        <w:suppressAutoHyphens/>
        <w:spacing w:after="0" w:line="240" w:lineRule="auto"/>
        <w:ind w:firstLine="1296"/>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patyriminio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70A63087" w14:textId="0DA4D61B" w:rsidR="000C3541" w:rsidRPr="00ED7317" w:rsidRDefault="000C3541" w:rsidP="00ED7317">
      <w:pPr>
        <w:pStyle w:val="Sraopastraipa"/>
        <w:spacing w:after="0" w:line="240" w:lineRule="auto"/>
        <w:ind w:left="0" w:firstLine="1276"/>
        <w:jc w:val="both"/>
        <w:rPr>
          <w:rFonts w:ascii="Times New Roman" w:eastAsia="Calibri" w:hAnsi="Times New Roman" w:cs="Times New Roman"/>
          <w:iCs/>
          <w:color w:val="000000"/>
          <w:sz w:val="24"/>
          <w:szCs w:val="24"/>
        </w:rPr>
      </w:pPr>
      <w:r w:rsidRPr="0030771A">
        <w:rPr>
          <w:rFonts w:ascii="Times New Roman" w:eastAsia="Times New Roman" w:hAnsi="Times New Roman" w:cs="Times New Roman"/>
          <w:color w:val="000000"/>
          <w:sz w:val="24"/>
          <w:szCs w:val="24"/>
          <w:lang w:eastAsia="lt-LT"/>
        </w:rPr>
        <w:t>1.2.6.6. Priemonė. Klaipėdos regiono plėtros plano projektų švietimo srityje  įgyvendinimas</w:t>
      </w:r>
      <w:r w:rsidR="0030771A" w:rsidRPr="0030771A">
        <w:rPr>
          <w:rFonts w:ascii="Times New Roman" w:eastAsia="Times New Roman" w:hAnsi="Times New Roman" w:cs="Times New Roman"/>
          <w:color w:val="000000"/>
          <w:sz w:val="24"/>
          <w:szCs w:val="24"/>
          <w:lang w:eastAsia="lt-LT"/>
        </w:rPr>
        <w:t xml:space="preserve">. </w:t>
      </w:r>
      <w:r w:rsidR="00506CBA" w:rsidRPr="009F2517">
        <w:rPr>
          <w:rFonts w:ascii="Times New Roman" w:eastAsia="Calibri" w:hAnsi="Times New Roman" w:cs="Times New Roman"/>
          <w:color w:val="000000"/>
          <w:sz w:val="24"/>
          <w:szCs w:val="24"/>
        </w:rPr>
        <w:t>Klaipėdos regiono 2021–2027 metų plėtros plano lėšomis įgyvendinamas projektas „</w:t>
      </w:r>
      <w:r w:rsidR="00506CBA" w:rsidRPr="009F2517">
        <w:rPr>
          <w:rFonts w:ascii="Times New Roman" w:eastAsia="Calibri" w:hAnsi="Times New Roman" w:cs="Times New Roman"/>
          <w:sz w:val="24"/>
          <w:szCs w:val="24"/>
        </w:rPr>
        <w:t>Skuodo rajono bendrojo ugdymo mokyklų aplinkos pritaikymas įtraukiajam ugdymui (neįgaliesiems</w:t>
      </w:r>
      <w:r w:rsidR="00506CBA" w:rsidRPr="009F2517">
        <w:rPr>
          <w:rFonts w:ascii="Times New Roman" w:eastAsia="Calibri" w:hAnsi="Times New Roman" w:cs="Times New Roman"/>
          <w:iCs/>
          <w:sz w:val="24"/>
          <w:szCs w:val="24"/>
        </w:rPr>
        <w:t>)“</w:t>
      </w:r>
      <w:r w:rsidR="00506CBA" w:rsidRPr="009F2517">
        <w:rPr>
          <w:rFonts w:ascii="Times New Roman" w:eastAsia="Calibri" w:hAnsi="Times New Roman" w:cs="Times New Roman"/>
          <w:iCs/>
          <w:color w:val="000000"/>
          <w:sz w:val="24"/>
          <w:szCs w:val="24"/>
        </w:rPr>
        <w:t xml:space="preserve">. </w:t>
      </w:r>
      <w:r w:rsidR="00506CBA" w:rsidRPr="009F2517">
        <w:rPr>
          <w:rFonts w:ascii="Times New Roman" w:eastAsia="Calibri" w:hAnsi="Times New Roman" w:cs="Times New Roman"/>
          <w:color w:val="000000"/>
          <w:sz w:val="24"/>
          <w:szCs w:val="24"/>
        </w:rPr>
        <w:t>Projekto metu įtraukiajam mokymui bus pritaikyta aplinka Skuodo Pr</w:t>
      </w:r>
      <w:r w:rsidR="00E70D21">
        <w:rPr>
          <w:rFonts w:ascii="Times New Roman" w:eastAsia="Calibri" w:hAnsi="Times New Roman" w:cs="Times New Roman"/>
          <w:color w:val="000000"/>
          <w:sz w:val="24"/>
          <w:szCs w:val="24"/>
        </w:rPr>
        <w:t>anciškaus</w:t>
      </w:r>
      <w:r w:rsidR="00506CBA" w:rsidRPr="009F2517">
        <w:rPr>
          <w:rFonts w:ascii="Times New Roman" w:eastAsia="Calibri" w:hAnsi="Times New Roman" w:cs="Times New Roman"/>
          <w:color w:val="000000"/>
          <w:sz w:val="24"/>
          <w:szCs w:val="24"/>
        </w:rPr>
        <w:t xml:space="preserve"> Žadeikio gimnazijoje, Mosėdžio gimnazijoje ir </w:t>
      </w:r>
      <w:r w:rsidR="00E70D21">
        <w:rPr>
          <w:rFonts w:ascii="Times New Roman" w:eastAsia="Calibri" w:hAnsi="Times New Roman" w:cs="Times New Roman"/>
          <w:color w:val="000000"/>
          <w:sz w:val="24"/>
          <w:szCs w:val="24"/>
        </w:rPr>
        <w:t xml:space="preserve">Skuodo </w:t>
      </w:r>
      <w:r w:rsidR="00506CBA" w:rsidRPr="009F2517">
        <w:rPr>
          <w:rFonts w:ascii="Times New Roman" w:eastAsia="Calibri" w:hAnsi="Times New Roman" w:cs="Times New Roman"/>
          <w:color w:val="000000"/>
          <w:sz w:val="24"/>
          <w:szCs w:val="24"/>
        </w:rPr>
        <w:t xml:space="preserve">Bartuvos progimnazijoje bei įsigytas autobusiukas Bartuvos progimnazijos neįgaliųjų moksleivių pavėžėjimui. Bendra projekto vertė – 1 412 000 Eur, iš jų ES lėšos – 1 200 Eur. </w:t>
      </w:r>
      <w:r w:rsidR="00506CBA">
        <w:rPr>
          <w:rFonts w:ascii="Times New Roman" w:eastAsia="Calibri" w:hAnsi="Times New Roman" w:cs="Times New Roman"/>
          <w:color w:val="000000"/>
          <w:sz w:val="24"/>
          <w:szCs w:val="24"/>
        </w:rPr>
        <w:t xml:space="preserve">Planuojamas projekto įgyvendinimo laikotarpis – 2024–2026 m. </w:t>
      </w:r>
    </w:p>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2"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2"/>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D02AA06"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 ir kompensacijų 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Tikslinės kompensacijos </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77777777" w:rsidR="001A2204" w:rsidRPr="002D1F0F" w:rsidRDefault="001A2204" w:rsidP="001A2204">
            <w:pPr>
              <w:spacing w:after="0" w:line="240" w:lineRule="auto"/>
              <w:rPr>
                <w:rFonts w:ascii="Times New Roman" w:eastAsia="Times New Roman" w:hAnsi="Times New Roman" w:cs="Times New Roman"/>
                <w:color w:val="4F81BD"/>
                <w:sz w:val="24"/>
                <w:szCs w:val="24"/>
                <w:lang w:eastAsia="lt-LT"/>
              </w:rPr>
            </w:pPr>
            <w:r w:rsidRPr="002D1F0F">
              <w:rPr>
                <w:rFonts w:ascii="Times New Roman" w:eastAsia="Times New Roman" w:hAnsi="Times New Roman" w:cs="Times New Roman"/>
                <w:color w:val="000000"/>
                <w:sz w:val="24"/>
                <w:szCs w:val="24"/>
                <w:lang w:eastAsia="lt-LT"/>
              </w:rPr>
              <w:t>Tikslinėms kompensacijoms  administruoti</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lastRenderedPageBreak/>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77777777" w:rsidR="001A2204" w:rsidRPr="002D1F0F" w:rsidRDefault="001A2204" w:rsidP="008462FC">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Socialinės reabilitacijos paslaugų neįgaliesiems bendruomenėje projektų įgyvendinimas</w:t>
            </w:r>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2D1F0F" w:rsidRDefault="001A2204" w:rsidP="008462FC">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Asmeninės pagalbos neįgaliems gyventojams teikimas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1A2204"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1A2204"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1A2204"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3" w:name="_Hlk152189997"/>
            <w:r w:rsidRPr="002D1F0F">
              <w:rPr>
                <w:rFonts w:ascii="Times New Roman" w:eastAsia="Times New Roman" w:hAnsi="Times New Roman" w:cs="Times New Roman"/>
                <w:sz w:val="24"/>
                <w:szCs w:val="24"/>
                <w:lang w:eastAsia="lt-LT"/>
              </w:rPr>
              <w:t>Triukšmo prevencijos priemonių įgyvendinimas</w:t>
            </w:r>
            <w:bookmarkEnd w:id="13"/>
          </w:p>
        </w:tc>
      </w:tr>
      <w:tr w:rsidR="001A2204"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1A2204"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1A2204" w:rsidRPr="002D1F0F" w:rsidRDefault="001A2204" w:rsidP="008D61B5">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1A2204"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1A2204" w:rsidRPr="002D1F0F"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1A2204"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sidR="006D1100">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1A2204" w:rsidRPr="002D1F0F" w:rsidRDefault="006D1100" w:rsidP="008D61B5">
            <w:pPr>
              <w:spacing w:after="0" w:line="240" w:lineRule="auto"/>
              <w:jc w:val="both"/>
              <w:rPr>
                <w:rFonts w:ascii="Times New Roman" w:eastAsia="Times New Roman" w:hAnsi="Times New Roman" w:cs="Times New Roman"/>
                <w:color w:val="000000"/>
                <w:sz w:val="24"/>
                <w:szCs w:val="24"/>
                <w:lang w:eastAsia="lt-LT"/>
              </w:rPr>
            </w:pPr>
            <w:bookmarkStart w:id="14"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4"/>
          </w:p>
        </w:tc>
      </w:tr>
      <w:tr w:rsidR="001A2204"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1A2204"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1A2204"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5"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15"/>
      <w:tr w:rsidR="001A2204"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lastRenderedPageBreak/>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16" w:name="_Hlk152440709"/>
      <w:r w:rsidR="00B17F1A" w:rsidRPr="0030771A">
        <w:rPr>
          <w:rFonts w:ascii="Times New Roman" w:eastAsia="Times New Roman" w:hAnsi="Times New Roman" w:cs="Times New Roman"/>
          <w:color w:val="000000"/>
          <w:sz w:val="24"/>
          <w:szCs w:val="24"/>
          <w:lang w:eastAsia="lt-LT"/>
        </w:rPr>
        <w:t xml:space="preserve"> </w:t>
      </w:r>
      <w:bookmarkStart w:id="17"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16"/>
    <w:bookmarkEnd w:id="17"/>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18"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18"/>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Pr="006C3770"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4E7CE8B2" w14:textId="4E66CA64" w:rsidR="00B17F1A"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Pr="00B17F1A" w:rsidRDefault="005048C4"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VšĮ Skuodo pirminis sveikatos priežiūros centras,  VšĮ Mosėdžio pirminis sveikatos priežiūros centras, UAB „Baltic medics“, UAB „Echomeda“,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19"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19"/>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lastRenderedPageBreak/>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0"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0"/>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1"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1"/>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CC09C9"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Projekto „Bendras Europos Sąjungos paveldo turtingumo ir įvairovės dalijimasis Skuodo ir Dienvidkurzemės savivaldybėse“ įgyvendinimas</w:t>
            </w:r>
          </w:p>
        </w:tc>
      </w:tr>
      <w:tr w:rsidR="00CC09C9"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CC09C9"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CC09C9"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Sporto veiklos seniūnijose organizavimas</w:t>
            </w:r>
          </w:p>
        </w:tc>
      </w:tr>
      <w:tr w:rsidR="00CC09C9"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CC09C9"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CC09C9"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CC09C9"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CC09C9"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CC09C9"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CC09C9"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CC09C9"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CC09C9"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CC09C9"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CC09C9"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CC09C9"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CC09C9"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CC09C9"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Kultūros plėtros ir bendruomenių aktyvinimo veiklos dalinis finansavimas </w:t>
            </w:r>
          </w:p>
        </w:tc>
      </w:tr>
      <w:tr w:rsidR="00CC09C9"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CC09C9"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CC09C9"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CC09C9"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CC09C9"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CC09C9"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bookmarkStart w:id="22"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2"/>
          </w:p>
        </w:tc>
      </w:tr>
      <w:tr w:rsidR="00CC09C9"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CC09C9"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3" w:name="_Hlk152441375"/>
      <w:r w:rsidR="00D05A03">
        <w:rPr>
          <w:rFonts w:ascii="Times New Roman" w:hAnsi="Times New Roman" w:cs="Times New Roman"/>
          <w:sz w:val="24"/>
          <w:szCs w:val="24"/>
        </w:rPr>
        <w:t xml:space="preserve">Projektas finansuojamas Kultūros ministerijos lėšomis. </w:t>
      </w:r>
      <w:bookmarkEnd w:id="23"/>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742DFA4F"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lankymui, įrengiant pėsčiųjų ir dviračių takus“</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Kubiliškės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63D17289" w:rsidR="000179F6" w:rsidRPr="001B3DF7"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685F0D">
        <w:rPr>
          <w:rFonts w:ascii="Times New Roman" w:eastAsia="Calibri" w:hAnsi="Times New Roman" w:cs="Times New Roman"/>
          <w:color w:val="000000"/>
          <w:sz w:val="24"/>
          <w:szCs w:val="24"/>
        </w:rPr>
        <w:t>Skuodo dvaro sodybos teritorijos sutvarkymas</w:t>
      </w:r>
      <w:r>
        <w:rPr>
          <w:rFonts w:ascii="Times New Roman" w:eastAsia="Calibri" w:hAnsi="Times New Roman" w:cs="Times New Roman"/>
          <w:color w:val="000000"/>
          <w:sz w:val="24"/>
          <w:szCs w:val="24"/>
        </w:rPr>
        <w:t xml:space="preserve">“. </w:t>
      </w:r>
      <w:r w:rsidRPr="00685F0D">
        <w:rPr>
          <w:rFonts w:ascii="Times New Roman" w:eastAsia="Calibri" w:hAnsi="Times New Roman" w:cs="Times New Roman"/>
          <w:color w:val="000000"/>
          <w:sz w:val="24"/>
          <w:szCs w:val="24"/>
        </w:rPr>
        <w:t xml:space="preserve">Planuojama sutvarkyti buvusio Skuodo dvaro, dabartinio Skuodo muziejaus, pastato aplinką įrengiant takus, jungiančius dvaro teritoriją su miesto parku, įrengiant edukaciniams užsiėmimams skirtus gėlynus, apšvietimą, </w:t>
      </w:r>
      <w:r w:rsidRPr="00685F0D">
        <w:rPr>
          <w:rFonts w:ascii="Times New Roman" w:eastAsia="Calibri" w:hAnsi="Times New Roman" w:cs="Times New Roman"/>
          <w:color w:val="000000"/>
          <w:sz w:val="24"/>
          <w:szCs w:val="24"/>
        </w:rPr>
        <w:lastRenderedPageBreak/>
        <w:t>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42F27792" w14:textId="6C2245AD" w:rsidR="00B14A39" w:rsidRDefault="00B14A39"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4"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4"/>
    </w:p>
    <w:p w14:paraId="791FA18E" w14:textId="77777777" w:rsidR="005C5184" w:rsidRDefault="005C5184" w:rsidP="004F0146">
      <w:pPr>
        <w:spacing w:after="0" w:line="240" w:lineRule="auto"/>
        <w:jc w:val="both"/>
        <w:rPr>
          <w:rFonts w:ascii="Times New Roman" w:eastAsia="Times New Roman" w:hAnsi="Times New Roman" w:cs="Times New Roman"/>
          <w:i/>
          <w:color w:val="808080"/>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Ūkininkų iniciatyvų skatinimas</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25"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25"/>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5.1.1.6. Klaipėdos regiono verslo funkcinės zonos projektų įgyvendinimas. </w:t>
      </w:r>
      <w:r w:rsidR="008B39EF">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1288EB8F" w:rsidR="008B39EF" w:rsidRDefault="008B39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8B39EF">
        <w:rPr>
          <w:rFonts w:ascii="Times New Roman" w:eastAsia="Times New Roman" w:hAnsi="Times New Roman" w:cs="Times New Roman"/>
          <w:color w:val="000000"/>
          <w:sz w:val="24"/>
          <w:szCs w:val="24"/>
          <w:lang w:eastAsia="lt-LT"/>
        </w:rPr>
        <w:t>Skuodo miesto Statybininkų g. pramoninės zonos infrastuktūros kūrimas ir modernizavimas</w:t>
      </w:r>
      <w:r>
        <w:rPr>
          <w:rFonts w:ascii="Times New Roman" w:eastAsia="Times New Roman" w:hAnsi="Times New Roman" w:cs="Times New Roman"/>
          <w:color w:val="000000"/>
          <w:sz w:val="24"/>
          <w:szCs w:val="24"/>
          <w:lang w:eastAsia="lt-LT"/>
        </w:rPr>
        <w:t>“.</w:t>
      </w:r>
      <w:r w:rsidRPr="008B39EF">
        <w:t xml:space="preserve"> </w:t>
      </w:r>
      <w:r>
        <w:rPr>
          <w:rFonts w:ascii="Times New Roman" w:eastAsia="Times New Roman" w:hAnsi="Times New Roman" w:cs="Times New Roman"/>
          <w:color w:val="000000"/>
          <w:sz w:val="24"/>
          <w:szCs w:val="24"/>
          <w:lang w:eastAsia="lt-LT"/>
        </w:rPr>
        <w:t xml:space="preserve">Planuojami sutvarkyti 4 sklypų infrastruktūrą, </w:t>
      </w:r>
      <w:r w:rsidRPr="008B39EF">
        <w:rPr>
          <w:rFonts w:ascii="Times New Roman" w:eastAsia="Times New Roman" w:hAnsi="Times New Roman" w:cs="Times New Roman"/>
          <w:color w:val="000000"/>
          <w:sz w:val="24"/>
          <w:szCs w:val="24"/>
          <w:lang w:eastAsia="lt-LT"/>
        </w:rPr>
        <w:t xml:space="preserve">pritaikant laisvus </w:t>
      </w:r>
      <w:r>
        <w:rPr>
          <w:rFonts w:ascii="Times New Roman" w:eastAsia="Times New Roman" w:hAnsi="Times New Roman" w:cs="Times New Roman"/>
          <w:color w:val="000000"/>
          <w:sz w:val="24"/>
          <w:szCs w:val="24"/>
          <w:lang w:eastAsia="lt-LT"/>
        </w:rPr>
        <w:t>sk</w:t>
      </w:r>
      <w:r w:rsidRPr="008B39EF">
        <w:rPr>
          <w:rFonts w:ascii="Times New Roman" w:eastAsia="Times New Roman" w:hAnsi="Times New Roman" w:cs="Times New Roman"/>
          <w:color w:val="000000"/>
          <w:sz w:val="24"/>
          <w:szCs w:val="24"/>
          <w:lang w:eastAsia="lt-LT"/>
        </w:rPr>
        <w:t>lypus investicijoms</w:t>
      </w:r>
      <w:r>
        <w:rPr>
          <w:rFonts w:ascii="Times New Roman" w:eastAsia="Times New Roman" w:hAnsi="Times New Roman" w:cs="Times New Roman"/>
          <w:color w:val="000000"/>
          <w:sz w:val="24"/>
          <w:szCs w:val="24"/>
          <w:lang w:eastAsia="lt-LT"/>
        </w:rPr>
        <w:t>.</w:t>
      </w:r>
      <w:r w:rsidR="00D063C8">
        <w:rPr>
          <w:rFonts w:ascii="Times New Roman" w:eastAsia="Times New Roman" w:hAnsi="Times New Roman" w:cs="Times New Roman"/>
          <w:color w:val="000000"/>
          <w:sz w:val="24"/>
          <w:szCs w:val="24"/>
          <w:lang w:eastAsia="lt-LT"/>
        </w:rPr>
        <w:t xml:space="preserve"> Projekto vertė – </w:t>
      </w:r>
      <w:r w:rsidR="00244479">
        <w:rPr>
          <w:rFonts w:ascii="Times New Roman" w:eastAsia="Times New Roman" w:hAnsi="Times New Roman" w:cs="Times New Roman"/>
          <w:color w:val="000000"/>
          <w:sz w:val="24"/>
          <w:szCs w:val="24"/>
          <w:lang w:eastAsia="lt-LT"/>
        </w:rPr>
        <w:t>5 423 430</w:t>
      </w:r>
      <w:r w:rsidR="00D063C8">
        <w:rPr>
          <w:rFonts w:ascii="Times New Roman" w:eastAsia="Times New Roman" w:hAnsi="Times New Roman" w:cs="Times New Roman"/>
          <w:color w:val="000000"/>
          <w:sz w:val="24"/>
          <w:szCs w:val="24"/>
          <w:lang w:eastAsia="lt-LT"/>
        </w:rPr>
        <w:t xml:space="preserve"> Eur.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6"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6"/>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7624E3"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7624E3" w:rsidRPr="00B1744C" w:rsidRDefault="007624E3" w:rsidP="007624E3">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7624E3"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7624E3" w:rsidRPr="00B1744C" w:rsidRDefault="007624E3" w:rsidP="007624E3">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7624E3" w:rsidRPr="00B1744C" w:rsidRDefault="007624E3" w:rsidP="007624E3">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7624E3" w:rsidRPr="00B1744C" w:rsidRDefault="007624E3" w:rsidP="007624E3">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7624E3"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7624E3"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bookmarkStart w:id="27"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27"/>
          </w:p>
        </w:tc>
      </w:tr>
      <w:tr w:rsidR="007624E3"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7624E3"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7624E3"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bookmarkStart w:id="28"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28"/>
          </w:p>
        </w:tc>
      </w:tr>
      <w:tr w:rsidR="00346295"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346295" w:rsidRPr="007624E3" w:rsidRDefault="00346295" w:rsidP="007624E3">
            <w:pPr>
              <w:spacing w:after="0" w:line="240" w:lineRule="auto"/>
              <w:rPr>
                <w:rFonts w:ascii="Times New Roman" w:eastAsia="Times New Roman" w:hAnsi="Times New Roman" w:cs="Times New Roman"/>
                <w:color w:val="000000"/>
                <w:sz w:val="24"/>
                <w:szCs w:val="24"/>
                <w:lang w:eastAsia="lt-LT"/>
              </w:rPr>
            </w:pPr>
            <w:bookmarkStart w:id="29"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346295" w:rsidRPr="007624E3" w:rsidRDefault="00346295"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346295" w:rsidRPr="007624E3" w:rsidRDefault="00346295"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346295" w:rsidRPr="007624E3" w:rsidRDefault="00346295"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bookmarkEnd w:id="29"/>
      <w:tr w:rsidR="007624E3"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7624E3"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7624E3"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sidR="00C83311">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7624E3"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7624E3"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7624E3" w:rsidRPr="007624E3" w:rsidRDefault="007624E3" w:rsidP="00B1744C">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7624E3"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7624E3" w:rsidRPr="00B1744C" w:rsidRDefault="007624E3" w:rsidP="007624E3">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7624E3" w:rsidRPr="00B1744C" w:rsidRDefault="007624E3" w:rsidP="007624E3">
            <w:pPr>
              <w:spacing w:after="0" w:line="240" w:lineRule="auto"/>
              <w:rPr>
                <w:rFonts w:ascii="Times New Roman" w:eastAsia="Times New Roman" w:hAnsi="Times New Roman" w:cs="Times New Roman"/>
                <w:sz w:val="24"/>
                <w:szCs w:val="24"/>
                <w:lang w:eastAsia="lt-LT"/>
              </w:rPr>
            </w:pPr>
            <w:bookmarkStart w:id="30" w:name="_Hlk152497691"/>
            <w:r w:rsidRPr="00B1744C">
              <w:rPr>
                <w:rFonts w:ascii="Times New Roman" w:eastAsia="Times New Roman" w:hAnsi="Times New Roman" w:cs="Times New Roman"/>
                <w:sz w:val="24"/>
                <w:szCs w:val="24"/>
                <w:lang w:eastAsia="lt-LT"/>
              </w:rPr>
              <w:t xml:space="preserve">Mosėdžio vaikų lopšelio-darželio statyba </w:t>
            </w:r>
            <w:bookmarkEnd w:id="30"/>
          </w:p>
        </w:tc>
      </w:tr>
      <w:tr w:rsidR="007624E3"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7624E3" w:rsidRPr="00B1744C" w:rsidRDefault="007624E3" w:rsidP="007624E3">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7624E3"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bookmarkStart w:id="31"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1"/>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31D9B2B8" w14:textId="54C6116D" w:rsidR="002F40DA"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F0460A">
      <w:pPr>
        <w:pStyle w:val="Sraopastraipa"/>
        <w:numPr>
          <w:ilvl w:val="3"/>
          <w:numId w:val="50"/>
        </w:numPr>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F0460A">
      <w:pPr>
        <w:pStyle w:val="Sraopastraipa"/>
        <w:numPr>
          <w:ilvl w:val="3"/>
          <w:numId w:val="50"/>
        </w:numPr>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2"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2"/>
    <w:p w14:paraId="0F558E88" w14:textId="7F09A4CB" w:rsidR="005C0267" w:rsidRPr="00801399" w:rsidRDefault="005C0267" w:rsidP="00F0460A">
      <w:pPr>
        <w:pStyle w:val="Sraopastraipa"/>
        <w:numPr>
          <w:ilvl w:val="3"/>
          <w:numId w:val="50"/>
        </w:numPr>
        <w:spacing w:after="0"/>
        <w:ind w:left="0" w:firstLine="1247"/>
        <w:jc w:val="both"/>
        <w:rPr>
          <w:rFonts w:ascii="Times New Roman" w:eastAsia="Times New Roman" w:hAnsi="Times New Roman" w:cs="Times New Roman"/>
          <w:color w:val="000000"/>
          <w:sz w:val="24"/>
          <w:szCs w:val="24"/>
          <w:lang w:eastAsia="lt-LT"/>
        </w:rPr>
      </w:pPr>
      <w:r w:rsidRPr="00801399">
        <w:rPr>
          <w:rFonts w:ascii="Times New Roman" w:eastAsia="Times New Roman" w:hAnsi="Times New Roman" w:cs="Times New Roman"/>
          <w:color w:val="000000"/>
          <w:sz w:val="24"/>
          <w:szCs w:val="24"/>
          <w:lang w:eastAsia="lt-LT"/>
        </w:rPr>
        <w:t xml:space="preserve"> Rajonui svarbių ir perspektyvių teritorijų pritaikymas gyventojų poreikiams.</w:t>
      </w:r>
      <w:r w:rsidR="00801399" w:rsidRPr="00801399">
        <w:rPr>
          <w:rFonts w:ascii="Times New Roman" w:eastAsia="Times New Roman" w:hAnsi="Times New Roman" w:cs="Times New Roman"/>
          <w:color w:val="000000"/>
          <w:sz w:val="24"/>
          <w:szCs w:val="24"/>
          <w:lang w:eastAsia="lt-LT"/>
        </w:rPr>
        <w:t xml:space="preserve"> Lėšos šios priemonės įgyvendinimui planuojamos 6.1.1.5. priemonėje „Nepaskirstytų lėšų rezervas“. </w:t>
      </w: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lastRenderedPageBreak/>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33"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33"/>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34"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34"/>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35"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36" w:name="_Hlk152501679"/>
            <w:bookmarkEnd w:id="35"/>
            <w:r w:rsidRPr="00346295">
              <w:rPr>
                <w:rFonts w:ascii="Times New Roman" w:eastAsia="Times New Roman" w:hAnsi="Times New Roman" w:cs="Times New Roman"/>
                <w:color w:val="000000"/>
                <w:sz w:val="24"/>
                <w:szCs w:val="24"/>
                <w:lang w:eastAsia="lt-LT"/>
              </w:rPr>
              <w:lastRenderedPageBreak/>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36"/>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37"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37"/>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38"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38"/>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39"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 xml:space="preserve">Vidutinis laikas nuo paciento kreipimosi į įstaigą dėl asmens sveikatos priežiūros paslaugos </w:t>
            </w:r>
            <w:r w:rsidRPr="00CC4098">
              <w:rPr>
                <w:rFonts w:ascii="Times New Roman" w:hAnsi="Times New Roman" w:cs="Times New Roman"/>
                <w:lang w:eastAsia="lt-LT"/>
              </w:rPr>
              <w:lastRenderedPageBreak/>
              <w:t>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lastRenderedPageBreak/>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39"/>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diegti naujas ir tobulinti jau naudojamas informacines sistemas, prisijungti prie bendrai naudojamos „Dbsis“ </w:t>
            </w:r>
            <w:r w:rsidRPr="001B2DCE">
              <w:rPr>
                <w:rFonts w:ascii="Times New Roman" w:eastAsia="Calibri" w:hAnsi="Times New Roman" w:cs="Times New Roman"/>
                <w:bCs/>
              </w:rPr>
              <w:lastRenderedPageBreak/>
              <w:t>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xml:space="preserve">Savivaldybės infrastruktūros </w:t>
            </w:r>
            <w:r w:rsidRPr="003857CF">
              <w:rPr>
                <w:rFonts w:ascii="Times New Roman" w:eastAsia="Times New Roman" w:hAnsi="Times New Roman" w:cs="Times New Roman"/>
                <w:color w:val="000000"/>
                <w:sz w:val="24"/>
                <w:szCs w:val="24"/>
                <w:lang w:eastAsia="lt-LT"/>
              </w:rPr>
              <w:lastRenderedPageBreak/>
              <w:t>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lastRenderedPageBreak/>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lastRenderedPageBreak/>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F0460A">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2F1E2" w14:textId="77777777" w:rsidR="008227BD" w:rsidRDefault="008227BD" w:rsidP="00E75C34">
      <w:pPr>
        <w:spacing w:after="0" w:line="240" w:lineRule="auto"/>
      </w:pPr>
      <w:r>
        <w:separator/>
      </w:r>
    </w:p>
  </w:endnote>
  <w:endnote w:type="continuationSeparator" w:id="0">
    <w:p w14:paraId="7F2DA126" w14:textId="77777777" w:rsidR="008227BD" w:rsidRDefault="008227BD"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E5AE8" w14:textId="77777777" w:rsidR="008227BD" w:rsidRDefault="008227BD" w:rsidP="00E75C34">
      <w:pPr>
        <w:spacing w:after="0" w:line="240" w:lineRule="auto"/>
      </w:pPr>
      <w:r>
        <w:separator/>
      </w:r>
    </w:p>
  </w:footnote>
  <w:footnote w:type="continuationSeparator" w:id="0">
    <w:p w14:paraId="3C2F13EC" w14:textId="77777777" w:rsidR="008227BD" w:rsidRDefault="008227BD" w:rsidP="00E75C34">
      <w:pPr>
        <w:spacing w:after="0" w:line="240" w:lineRule="auto"/>
      </w:pPr>
      <w:r>
        <w:continuationSeparator/>
      </w:r>
    </w:p>
  </w:footnote>
  <w:footnote w:id="1">
    <w:p w14:paraId="3386DF66" w14:textId="77777777"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 (lot. </w:t>
      </w:r>
      <w:r w:rsidRPr="00B21D14">
        <w:rPr>
          <w:rFonts w:ascii="Times New Roman" w:hAnsi="Times New Roman" w:cs="Times New Roman"/>
          <w:i/>
          <w:iCs/>
        </w:rPr>
        <w:t>regularis</w:t>
      </w:r>
      <w:r w:rsidRPr="00B21D14">
        <w:rPr>
          <w:rFonts w:ascii="Times New Roman" w:hAnsi="Times New Roman" w:cs="Times New Roman"/>
        </w:rPr>
        <w:t xml:space="preserve"> -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28776"/>
      <w:docPartObj>
        <w:docPartGallery w:val="Page Numbers (Top of Page)"/>
        <w:docPartUnique/>
      </w:docPartObj>
    </w:sdtPr>
    <w:sdtEnd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1"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7"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9"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3"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5"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7"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38"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39"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2"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3"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5"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4"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5"/>
  </w:num>
  <w:num w:numId="2" w16cid:durableId="275715847">
    <w:abstractNumId w:val="30"/>
  </w:num>
  <w:num w:numId="3" w16cid:durableId="1919291595">
    <w:abstractNumId w:val="2"/>
  </w:num>
  <w:num w:numId="4" w16cid:durableId="497581037">
    <w:abstractNumId w:val="3"/>
  </w:num>
  <w:num w:numId="5" w16cid:durableId="1990203254">
    <w:abstractNumId w:val="7"/>
  </w:num>
  <w:num w:numId="6" w16cid:durableId="1888295815">
    <w:abstractNumId w:val="18"/>
  </w:num>
  <w:num w:numId="7" w16cid:durableId="1541820932">
    <w:abstractNumId w:val="10"/>
  </w:num>
  <w:num w:numId="8" w16cid:durableId="1685670640">
    <w:abstractNumId w:val="51"/>
  </w:num>
  <w:num w:numId="9" w16cid:durableId="124204726">
    <w:abstractNumId w:val="16"/>
  </w:num>
  <w:num w:numId="10" w16cid:durableId="80756209">
    <w:abstractNumId w:val="54"/>
  </w:num>
  <w:num w:numId="11" w16cid:durableId="1796558190">
    <w:abstractNumId w:val="19"/>
  </w:num>
  <w:num w:numId="12" w16cid:durableId="1874924816">
    <w:abstractNumId w:val="27"/>
  </w:num>
  <w:num w:numId="13" w16cid:durableId="466360118">
    <w:abstractNumId w:val="37"/>
  </w:num>
  <w:num w:numId="14" w16cid:durableId="325597496">
    <w:abstractNumId w:val="36"/>
  </w:num>
  <w:num w:numId="15" w16cid:durableId="741173891">
    <w:abstractNumId w:val="49"/>
  </w:num>
  <w:num w:numId="16" w16cid:durableId="348991006">
    <w:abstractNumId w:val="32"/>
  </w:num>
  <w:num w:numId="17" w16cid:durableId="1292639484">
    <w:abstractNumId w:val="17"/>
  </w:num>
  <w:num w:numId="18" w16cid:durableId="373850080">
    <w:abstractNumId w:val="25"/>
  </w:num>
  <w:num w:numId="19" w16cid:durableId="2021228039">
    <w:abstractNumId w:val="40"/>
  </w:num>
  <w:num w:numId="20" w16cid:durableId="841167519">
    <w:abstractNumId w:val="38"/>
  </w:num>
  <w:num w:numId="21" w16cid:durableId="1703902712">
    <w:abstractNumId w:val="26"/>
  </w:num>
  <w:num w:numId="22" w16cid:durableId="196814899">
    <w:abstractNumId w:val="41"/>
  </w:num>
  <w:num w:numId="23" w16cid:durableId="1051810694">
    <w:abstractNumId w:val="23"/>
  </w:num>
  <w:num w:numId="24" w16cid:durableId="905454236">
    <w:abstractNumId w:val="43"/>
  </w:num>
  <w:num w:numId="25" w16cid:durableId="690424516">
    <w:abstractNumId w:val="34"/>
  </w:num>
  <w:num w:numId="26" w16cid:durableId="341471022">
    <w:abstractNumId w:val="50"/>
  </w:num>
  <w:num w:numId="27" w16cid:durableId="2102946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29"/>
  </w:num>
  <w:num w:numId="29" w16cid:durableId="1064763562">
    <w:abstractNumId w:val="33"/>
  </w:num>
  <w:num w:numId="30" w16cid:durableId="1268925101">
    <w:abstractNumId w:val="46"/>
  </w:num>
  <w:num w:numId="31" w16cid:durableId="430931223">
    <w:abstractNumId w:val="48"/>
  </w:num>
  <w:num w:numId="32" w16cid:durableId="238179116">
    <w:abstractNumId w:val="12"/>
  </w:num>
  <w:num w:numId="33" w16cid:durableId="1321545122">
    <w:abstractNumId w:val="35"/>
  </w:num>
  <w:num w:numId="34" w16cid:durableId="868030730">
    <w:abstractNumId w:val="31"/>
  </w:num>
  <w:num w:numId="35" w16cid:durableId="1406805716">
    <w:abstractNumId w:val="52"/>
  </w:num>
  <w:num w:numId="36" w16cid:durableId="520356905">
    <w:abstractNumId w:val="5"/>
  </w:num>
  <w:num w:numId="37" w16cid:durableId="1078748083">
    <w:abstractNumId w:val="45"/>
  </w:num>
  <w:num w:numId="38" w16cid:durableId="342244532">
    <w:abstractNumId w:val="24"/>
  </w:num>
  <w:num w:numId="39" w16cid:durableId="1736081324">
    <w:abstractNumId w:val="8"/>
  </w:num>
  <w:num w:numId="40" w16cid:durableId="446773035">
    <w:abstractNumId w:val="6"/>
  </w:num>
  <w:num w:numId="41" w16cid:durableId="670451097">
    <w:abstractNumId w:val="13"/>
  </w:num>
  <w:num w:numId="42" w16cid:durableId="459149273">
    <w:abstractNumId w:val="39"/>
  </w:num>
  <w:num w:numId="43" w16cid:durableId="1802770403">
    <w:abstractNumId w:val="22"/>
  </w:num>
  <w:num w:numId="44" w16cid:durableId="825972498">
    <w:abstractNumId w:val="21"/>
  </w:num>
  <w:num w:numId="45" w16cid:durableId="315961958">
    <w:abstractNumId w:val="4"/>
  </w:num>
  <w:num w:numId="46" w16cid:durableId="830413885">
    <w:abstractNumId w:val="1"/>
  </w:num>
  <w:num w:numId="47" w16cid:durableId="1118797443">
    <w:abstractNumId w:val="28"/>
  </w:num>
  <w:num w:numId="48" w16cid:durableId="1960909703">
    <w:abstractNumId w:val="9"/>
  </w:num>
  <w:num w:numId="49" w16cid:durableId="1556118286">
    <w:abstractNumId w:val="11"/>
  </w:num>
  <w:num w:numId="50" w16cid:durableId="807168538">
    <w:abstractNumId w:val="20"/>
  </w:num>
  <w:num w:numId="51" w16cid:durableId="969437238">
    <w:abstractNumId w:val="53"/>
  </w:num>
  <w:num w:numId="52" w16cid:durableId="352339306">
    <w:abstractNumId w:val="0"/>
  </w:num>
  <w:num w:numId="53" w16cid:durableId="1253052062">
    <w:abstractNumId w:val="44"/>
  </w:num>
  <w:num w:numId="54" w16cid:durableId="275453937">
    <w:abstractNumId w:val="47"/>
  </w:num>
  <w:num w:numId="55" w16cid:durableId="1205555597">
    <w:abstractNumId w:val="42"/>
  </w:num>
  <w:num w:numId="56" w16cid:durableId="248807005">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744D"/>
    <w:rsid w:val="0001186C"/>
    <w:rsid w:val="00012678"/>
    <w:rsid w:val="00016209"/>
    <w:rsid w:val="000179F6"/>
    <w:rsid w:val="00041F45"/>
    <w:rsid w:val="000651EF"/>
    <w:rsid w:val="00072B97"/>
    <w:rsid w:val="00077788"/>
    <w:rsid w:val="0008013A"/>
    <w:rsid w:val="00083284"/>
    <w:rsid w:val="00090B3C"/>
    <w:rsid w:val="00093A30"/>
    <w:rsid w:val="000A2D03"/>
    <w:rsid w:val="000B545F"/>
    <w:rsid w:val="000C0827"/>
    <w:rsid w:val="000C3541"/>
    <w:rsid w:val="000C57E5"/>
    <w:rsid w:val="000C68FE"/>
    <w:rsid w:val="000D07D1"/>
    <w:rsid w:val="000D4103"/>
    <w:rsid w:val="000F1B29"/>
    <w:rsid w:val="000F7364"/>
    <w:rsid w:val="000F73DC"/>
    <w:rsid w:val="0010006C"/>
    <w:rsid w:val="001003C9"/>
    <w:rsid w:val="0010255C"/>
    <w:rsid w:val="001120D9"/>
    <w:rsid w:val="0011493D"/>
    <w:rsid w:val="00117EB0"/>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328E"/>
    <w:rsid w:val="001827EF"/>
    <w:rsid w:val="00185CB9"/>
    <w:rsid w:val="0018730D"/>
    <w:rsid w:val="0019058A"/>
    <w:rsid w:val="001906E8"/>
    <w:rsid w:val="001948E8"/>
    <w:rsid w:val="00194F99"/>
    <w:rsid w:val="001978DA"/>
    <w:rsid w:val="001A2204"/>
    <w:rsid w:val="001A7441"/>
    <w:rsid w:val="001B116A"/>
    <w:rsid w:val="001B25B4"/>
    <w:rsid w:val="001B2DCE"/>
    <w:rsid w:val="001B3DF7"/>
    <w:rsid w:val="001B6E93"/>
    <w:rsid w:val="001C1DB5"/>
    <w:rsid w:val="001D3E14"/>
    <w:rsid w:val="001D64E9"/>
    <w:rsid w:val="001D77B8"/>
    <w:rsid w:val="001E0D92"/>
    <w:rsid w:val="001F0651"/>
    <w:rsid w:val="001F0F5F"/>
    <w:rsid w:val="001F69BE"/>
    <w:rsid w:val="0021239B"/>
    <w:rsid w:val="00216FD6"/>
    <w:rsid w:val="002211B6"/>
    <w:rsid w:val="00223493"/>
    <w:rsid w:val="0022656A"/>
    <w:rsid w:val="00226CC8"/>
    <w:rsid w:val="00235E1C"/>
    <w:rsid w:val="002377A2"/>
    <w:rsid w:val="00237BB5"/>
    <w:rsid w:val="00244479"/>
    <w:rsid w:val="002502E6"/>
    <w:rsid w:val="00257413"/>
    <w:rsid w:val="002616E8"/>
    <w:rsid w:val="00271202"/>
    <w:rsid w:val="002809EE"/>
    <w:rsid w:val="002853AF"/>
    <w:rsid w:val="00291DF3"/>
    <w:rsid w:val="00296723"/>
    <w:rsid w:val="002A19D9"/>
    <w:rsid w:val="002A1D79"/>
    <w:rsid w:val="002A41CB"/>
    <w:rsid w:val="002A67A4"/>
    <w:rsid w:val="002B1963"/>
    <w:rsid w:val="002B2753"/>
    <w:rsid w:val="002B6B1F"/>
    <w:rsid w:val="002C5644"/>
    <w:rsid w:val="002C78B4"/>
    <w:rsid w:val="002D1769"/>
    <w:rsid w:val="002D1F0F"/>
    <w:rsid w:val="002D63F4"/>
    <w:rsid w:val="002E03C8"/>
    <w:rsid w:val="002F1ECC"/>
    <w:rsid w:val="002F40DA"/>
    <w:rsid w:val="002F7F68"/>
    <w:rsid w:val="00301FB5"/>
    <w:rsid w:val="0030311E"/>
    <w:rsid w:val="00303125"/>
    <w:rsid w:val="00304126"/>
    <w:rsid w:val="0030771A"/>
    <w:rsid w:val="0031230C"/>
    <w:rsid w:val="003156DB"/>
    <w:rsid w:val="00317C06"/>
    <w:rsid w:val="00321A20"/>
    <w:rsid w:val="00324831"/>
    <w:rsid w:val="00334E0E"/>
    <w:rsid w:val="0033590E"/>
    <w:rsid w:val="00336092"/>
    <w:rsid w:val="00346295"/>
    <w:rsid w:val="00350DDA"/>
    <w:rsid w:val="00353545"/>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708A"/>
    <w:rsid w:val="003F43FB"/>
    <w:rsid w:val="003F6E3C"/>
    <w:rsid w:val="0040077A"/>
    <w:rsid w:val="00405064"/>
    <w:rsid w:val="00405D71"/>
    <w:rsid w:val="004076FD"/>
    <w:rsid w:val="00410D3F"/>
    <w:rsid w:val="004138D2"/>
    <w:rsid w:val="004141B4"/>
    <w:rsid w:val="00434227"/>
    <w:rsid w:val="0044195F"/>
    <w:rsid w:val="004427D9"/>
    <w:rsid w:val="00442CF3"/>
    <w:rsid w:val="004437DA"/>
    <w:rsid w:val="00444276"/>
    <w:rsid w:val="00445CA5"/>
    <w:rsid w:val="00445F91"/>
    <w:rsid w:val="00450ED4"/>
    <w:rsid w:val="00454229"/>
    <w:rsid w:val="0046408D"/>
    <w:rsid w:val="00465726"/>
    <w:rsid w:val="00467717"/>
    <w:rsid w:val="00471869"/>
    <w:rsid w:val="00475FEC"/>
    <w:rsid w:val="00482AB6"/>
    <w:rsid w:val="004953DC"/>
    <w:rsid w:val="00496866"/>
    <w:rsid w:val="004A078A"/>
    <w:rsid w:val="004A24AB"/>
    <w:rsid w:val="004A4BD4"/>
    <w:rsid w:val="004A7ACD"/>
    <w:rsid w:val="004C5C9C"/>
    <w:rsid w:val="004D6788"/>
    <w:rsid w:val="004E20CD"/>
    <w:rsid w:val="004E68F7"/>
    <w:rsid w:val="004F0146"/>
    <w:rsid w:val="00502792"/>
    <w:rsid w:val="005048C4"/>
    <w:rsid w:val="00505326"/>
    <w:rsid w:val="00506CBA"/>
    <w:rsid w:val="00511594"/>
    <w:rsid w:val="00514DBE"/>
    <w:rsid w:val="005243EB"/>
    <w:rsid w:val="005246E7"/>
    <w:rsid w:val="005454C4"/>
    <w:rsid w:val="005472BD"/>
    <w:rsid w:val="0055348E"/>
    <w:rsid w:val="005539A1"/>
    <w:rsid w:val="0056148E"/>
    <w:rsid w:val="0056597D"/>
    <w:rsid w:val="00572E54"/>
    <w:rsid w:val="0057399B"/>
    <w:rsid w:val="00576339"/>
    <w:rsid w:val="00581B5C"/>
    <w:rsid w:val="00583F17"/>
    <w:rsid w:val="005922F2"/>
    <w:rsid w:val="00594AE0"/>
    <w:rsid w:val="00596B6B"/>
    <w:rsid w:val="005A5E18"/>
    <w:rsid w:val="005B14CF"/>
    <w:rsid w:val="005B198C"/>
    <w:rsid w:val="005C0267"/>
    <w:rsid w:val="005C1ECB"/>
    <w:rsid w:val="005C5184"/>
    <w:rsid w:val="005C57DD"/>
    <w:rsid w:val="005C7626"/>
    <w:rsid w:val="005D17A5"/>
    <w:rsid w:val="005D4392"/>
    <w:rsid w:val="005F0FFB"/>
    <w:rsid w:val="005F1653"/>
    <w:rsid w:val="006077B7"/>
    <w:rsid w:val="006261D8"/>
    <w:rsid w:val="006320D3"/>
    <w:rsid w:val="00634222"/>
    <w:rsid w:val="00634ED1"/>
    <w:rsid w:val="00640AB9"/>
    <w:rsid w:val="00650D4F"/>
    <w:rsid w:val="00663E42"/>
    <w:rsid w:val="006674D1"/>
    <w:rsid w:val="00667BE2"/>
    <w:rsid w:val="00672C3A"/>
    <w:rsid w:val="00685F0D"/>
    <w:rsid w:val="00687E44"/>
    <w:rsid w:val="00690349"/>
    <w:rsid w:val="00691146"/>
    <w:rsid w:val="006A1187"/>
    <w:rsid w:val="006A6FF7"/>
    <w:rsid w:val="006B25CA"/>
    <w:rsid w:val="006C1319"/>
    <w:rsid w:val="006C1DCA"/>
    <w:rsid w:val="006C3770"/>
    <w:rsid w:val="006D1100"/>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7053"/>
    <w:rsid w:val="007374B2"/>
    <w:rsid w:val="00737E95"/>
    <w:rsid w:val="00743DFA"/>
    <w:rsid w:val="00750224"/>
    <w:rsid w:val="0076074E"/>
    <w:rsid w:val="007624E3"/>
    <w:rsid w:val="00773009"/>
    <w:rsid w:val="007875A3"/>
    <w:rsid w:val="007933E4"/>
    <w:rsid w:val="007A31A6"/>
    <w:rsid w:val="007B7E2C"/>
    <w:rsid w:val="007C173E"/>
    <w:rsid w:val="007C6274"/>
    <w:rsid w:val="007C7A49"/>
    <w:rsid w:val="007D765B"/>
    <w:rsid w:val="007E4930"/>
    <w:rsid w:val="007F0036"/>
    <w:rsid w:val="00801399"/>
    <w:rsid w:val="00803162"/>
    <w:rsid w:val="00803980"/>
    <w:rsid w:val="00815D1E"/>
    <w:rsid w:val="008178EA"/>
    <w:rsid w:val="00817F39"/>
    <w:rsid w:val="008227BD"/>
    <w:rsid w:val="008378A0"/>
    <w:rsid w:val="00841507"/>
    <w:rsid w:val="00844DD8"/>
    <w:rsid w:val="008462FC"/>
    <w:rsid w:val="00846A80"/>
    <w:rsid w:val="00850803"/>
    <w:rsid w:val="00850C27"/>
    <w:rsid w:val="00864761"/>
    <w:rsid w:val="008701C7"/>
    <w:rsid w:val="00883AB6"/>
    <w:rsid w:val="00885635"/>
    <w:rsid w:val="008861D7"/>
    <w:rsid w:val="008961EF"/>
    <w:rsid w:val="008977D7"/>
    <w:rsid w:val="008A73F4"/>
    <w:rsid w:val="008B39EF"/>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31B0"/>
    <w:rsid w:val="00944BC4"/>
    <w:rsid w:val="0096146E"/>
    <w:rsid w:val="0096168B"/>
    <w:rsid w:val="009677FD"/>
    <w:rsid w:val="0098408B"/>
    <w:rsid w:val="00995D7C"/>
    <w:rsid w:val="009A0DBC"/>
    <w:rsid w:val="009A0E9C"/>
    <w:rsid w:val="009B05B5"/>
    <w:rsid w:val="009B24C4"/>
    <w:rsid w:val="009C05D1"/>
    <w:rsid w:val="009C0612"/>
    <w:rsid w:val="009C283C"/>
    <w:rsid w:val="009C39BA"/>
    <w:rsid w:val="009D02A2"/>
    <w:rsid w:val="009E1825"/>
    <w:rsid w:val="009E3000"/>
    <w:rsid w:val="009E3D2D"/>
    <w:rsid w:val="009E6221"/>
    <w:rsid w:val="009E6881"/>
    <w:rsid w:val="009E75DD"/>
    <w:rsid w:val="009F2517"/>
    <w:rsid w:val="00A03F9E"/>
    <w:rsid w:val="00A07E89"/>
    <w:rsid w:val="00A10A69"/>
    <w:rsid w:val="00A224C2"/>
    <w:rsid w:val="00A2683F"/>
    <w:rsid w:val="00A344EE"/>
    <w:rsid w:val="00A35F7E"/>
    <w:rsid w:val="00A37C81"/>
    <w:rsid w:val="00A42485"/>
    <w:rsid w:val="00A45CA3"/>
    <w:rsid w:val="00A5332D"/>
    <w:rsid w:val="00A533A3"/>
    <w:rsid w:val="00A53CB8"/>
    <w:rsid w:val="00A56E35"/>
    <w:rsid w:val="00A57EAD"/>
    <w:rsid w:val="00A61645"/>
    <w:rsid w:val="00A714E1"/>
    <w:rsid w:val="00A812E9"/>
    <w:rsid w:val="00A82292"/>
    <w:rsid w:val="00A943D9"/>
    <w:rsid w:val="00AB213D"/>
    <w:rsid w:val="00AC58E1"/>
    <w:rsid w:val="00AC5D07"/>
    <w:rsid w:val="00AD0504"/>
    <w:rsid w:val="00AD0693"/>
    <w:rsid w:val="00AE39B4"/>
    <w:rsid w:val="00AE544E"/>
    <w:rsid w:val="00AF24AA"/>
    <w:rsid w:val="00AF50B2"/>
    <w:rsid w:val="00AF7750"/>
    <w:rsid w:val="00B060C6"/>
    <w:rsid w:val="00B14A39"/>
    <w:rsid w:val="00B17345"/>
    <w:rsid w:val="00B1744C"/>
    <w:rsid w:val="00B17F1A"/>
    <w:rsid w:val="00B21D14"/>
    <w:rsid w:val="00B2233A"/>
    <w:rsid w:val="00B415B9"/>
    <w:rsid w:val="00B43CE5"/>
    <w:rsid w:val="00B474E5"/>
    <w:rsid w:val="00B50709"/>
    <w:rsid w:val="00B65D69"/>
    <w:rsid w:val="00B759F0"/>
    <w:rsid w:val="00B77ACC"/>
    <w:rsid w:val="00B80A1A"/>
    <w:rsid w:val="00B82F55"/>
    <w:rsid w:val="00B910BE"/>
    <w:rsid w:val="00BA1C16"/>
    <w:rsid w:val="00BA5055"/>
    <w:rsid w:val="00BA66F4"/>
    <w:rsid w:val="00BB04AA"/>
    <w:rsid w:val="00BB13F0"/>
    <w:rsid w:val="00BB1C20"/>
    <w:rsid w:val="00BB3FAF"/>
    <w:rsid w:val="00BB4EC7"/>
    <w:rsid w:val="00BB6587"/>
    <w:rsid w:val="00BB709F"/>
    <w:rsid w:val="00BC63CE"/>
    <w:rsid w:val="00BC7042"/>
    <w:rsid w:val="00BD340D"/>
    <w:rsid w:val="00BE3EFB"/>
    <w:rsid w:val="00C00573"/>
    <w:rsid w:val="00C010EE"/>
    <w:rsid w:val="00C03B03"/>
    <w:rsid w:val="00C115CB"/>
    <w:rsid w:val="00C13233"/>
    <w:rsid w:val="00C14C09"/>
    <w:rsid w:val="00C1707C"/>
    <w:rsid w:val="00C20EB8"/>
    <w:rsid w:val="00C25EDB"/>
    <w:rsid w:val="00C33ED7"/>
    <w:rsid w:val="00C347BC"/>
    <w:rsid w:val="00C364B6"/>
    <w:rsid w:val="00C4163E"/>
    <w:rsid w:val="00C4348E"/>
    <w:rsid w:val="00C46E74"/>
    <w:rsid w:val="00C607F2"/>
    <w:rsid w:val="00C61201"/>
    <w:rsid w:val="00C63334"/>
    <w:rsid w:val="00C64992"/>
    <w:rsid w:val="00C813B7"/>
    <w:rsid w:val="00C817B4"/>
    <w:rsid w:val="00C8223B"/>
    <w:rsid w:val="00C83311"/>
    <w:rsid w:val="00C85D2A"/>
    <w:rsid w:val="00C86E22"/>
    <w:rsid w:val="00C87FC5"/>
    <w:rsid w:val="00C92AA4"/>
    <w:rsid w:val="00C92E33"/>
    <w:rsid w:val="00C95C9A"/>
    <w:rsid w:val="00CA3AB3"/>
    <w:rsid w:val="00CA5717"/>
    <w:rsid w:val="00CA61D2"/>
    <w:rsid w:val="00CB6247"/>
    <w:rsid w:val="00CB6BAC"/>
    <w:rsid w:val="00CB6EB5"/>
    <w:rsid w:val="00CB7430"/>
    <w:rsid w:val="00CC09C9"/>
    <w:rsid w:val="00CC3CC2"/>
    <w:rsid w:val="00CC3E53"/>
    <w:rsid w:val="00CC4098"/>
    <w:rsid w:val="00CC772E"/>
    <w:rsid w:val="00CF072E"/>
    <w:rsid w:val="00CF4D44"/>
    <w:rsid w:val="00CF4FA6"/>
    <w:rsid w:val="00CF7830"/>
    <w:rsid w:val="00D05A03"/>
    <w:rsid w:val="00D063C8"/>
    <w:rsid w:val="00D117EF"/>
    <w:rsid w:val="00D12E56"/>
    <w:rsid w:val="00D14EA5"/>
    <w:rsid w:val="00D20F7D"/>
    <w:rsid w:val="00D26B7A"/>
    <w:rsid w:val="00D36A1F"/>
    <w:rsid w:val="00D379B9"/>
    <w:rsid w:val="00D40F28"/>
    <w:rsid w:val="00D50833"/>
    <w:rsid w:val="00D533CA"/>
    <w:rsid w:val="00D533DF"/>
    <w:rsid w:val="00D56269"/>
    <w:rsid w:val="00D63B55"/>
    <w:rsid w:val="00D74B5D"/>
    <w:rsid w:val="00D77B60"/>
    <w:rsid w:val="00D81842"/>
    <w:rsid w:val="00D86836"/>
    <w:rsid w:val="00D879B9"/>
    <w:rsid w:val="00D87AF1"/>
    <w:rsid w:val="00D97205"/>
    <w:rsid w:val="00DA2A7F"/>
    <w:rsid w:val="00DA7DCE"/>
    <w:rsid w:val="00DB0733"/>
    <w:rsid w:val="00DB19EB"/>
    <w:rsid w:val="00DB3FB4"/>
    <w:rsid w:val="00DB6CF7"/>
    <w:rsid w:val="00DC449D"/>
    <w:rsid w:val="00DD78E2"/>
    <w:rsid w:val="00DE7F05"/>
    <w:rsid w:val="00DF368C"/>
    <w:rsid w:val="00DF49F3"/>
    <w:rsid w:val="00DF5797"/>
    <w:rsid w:val="00DF5978"/>
    <w:rsid w:val="00E0387A"/>
    <w:rsid w:val="00E060F4"/>
    <w:rsid w:val="00E206F1"/>
    <w:rsid w:val="00E21CD1"/>
    <w:rsid w:val="00E26783"/>
    <w:rsid w:val="00E35350"/>
    <w:rsid w:val="00E41C46"/>
    <w:rsid w:val="00E43BA9"/>
    <w:rsid w:val="00E47112"/>
    <w:rsid w:val="00E70D21"/>
    <w:rsid w:val="00E75C34"/>
    <w:rsid w:val="00E82BAC"/>
    <w:rsid w:val="00E871AA"/>
    <w:rsid w:val="00E937A9"/>
    <w:rsid w:val="00EB2B70"/>
    <w:rsid w:val="00EB2F47"/>
    <w:rsid w:val="00ED11A2"/>
    <w:rsid w:val="00ED61D4"/>
    <w:rsid w:val="00ED7317"/>
    <w:rsid w:val="00EE4951"/>
    <w:rsid w:val="00EE6E35"/>
    <w:rsid w:val="00EF2203"/>
    <w:rsid w:val="00EF274E"/>
    <w:rsid w:val="00F01320"/>
    <w:rsid w:val="00F01C87"/>
    <w:rsid w:val="00F0460A"/>
    <w:rsid w:val="00F11516"/>
    <w:rsid w:val="00F25A45"/>
    <w:rsid w:val="00F32A98"/>
    <w:rsid w:val="00F3752F"/>
    <w:rsid w:val="00F402FC"/>
    <w:rsid w:val="00F416EA"/>
    <w:rsid w:val="00F432B4"/>
    <w:rsid w:val="00F51506"/>
    <w:rsid w:val="00F515D5"/>
    <w:rsid w:val="00F560E2"/>
    <w:rsid w:val="00F642B2"/>
    <w:rsid w:val="00F64BE0"/>
    <w:rsid w:val="00F6703C"/>
    <w:rsid w:val="00F83E4C"/>
    <w:rsid w:val="00F84F97"/>
    <w:rsid w:val="00F856E3"/>
    <w:rsid w:val="00F86CD8"/>
    <w:rsid w:val="00F914CB"/>
    <w:rsid w:val="00F97B6C"/>
    <w:rsid w:val="00FA1DF8"/>
    <w:rsid w:val="00FA3AB4"/>
    <w:rsid w:val="00FA5028"/>
    <w:rsid w:val="00FC13E7"/>
    <w:rsid w:val="00FC2360"/>
    <w:rsid w:val="00FC3CDC"/>
    <w:rsid w:val="00FD131C"/>
    <w:rsid w:val="00FD20E9"/>
    <w:rsid w:val="00FD7895"/>
    <w:rsid w:val="00FE214D"/>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semiHidden/>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semiHidden/>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37942</Words>
  <Characters>21628</Characters>
  <Application>Microsoft Office Word</Application>
  <DocSecurity>4</DocSecurity>
  <Lines>180</Lines>
  <Paragraphs>118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2023-12-10T13:08:00Z</cp:lastPrinted>
  <dcterms:created xsi:type="dcterms:W3CDTF">2023-12-13T07:09:00Z</dcterms:created>
  <dcterms:modified xsi:type="dcterms:W3CDTF">2023-12-13T07:09:00Z</dcterms:modified>
</cp:coreProperties>
</file>